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2C8F" w14:textId="33178538" w:rsidR="00476CE5" w:rsidRPr="00A8123C" w:rsidRDefault="00384E25" w:rsidP="00A8123C">
      <w:pPr>
        <w:snapToGrid w:val="0"/>
        <w:spacing w:after="0" w:line="240" w:lineRule="auto"/>
        <w:rPr>
          <w:rFonts w:ascii="Arial" w:hAnsi="Arial" w:cs="Arial"/>
          <w:b/>
          <w:bCs/>
          <w:sz w:val="36"/>
          <w:szCs w:val="36"/>
        </w:rPr>
      </w:pPr>
      <w:r w:rsidRPr="00A8123C">
        <w:rPr>
          <w:rFonts w:ascii="Arial" w:hAnsi="Arial" w:cs="Arial"/>
          <w:b/>
          <w:bCs/>
          <w:sz w:val="36"/>
          <w:szCs w:val="36"/>
        </w:rPr>
        <w:t xml:space="preserve">Nobel </w:t>
      </w:r>
      <w:proofErr w:type="spellStart"/>
      <w:r w:rsidRPr="00A8123C">
        <w:rPr>
          <w:rFonts w:ascii="Arial" w:hAnsi="Arial" w:cs="Arial"/>
          <w:b/>
          <w:bCs/>
          <w:sz w:val="36"/>
          <w:szCs w:val="36"/>
        </w:rPr>
        <w:t>Biocare</w:t>
      </w:r>
      <w:proofErr w:type="spellEnd"/>
      <w:r w:rsidRPr="00A8123C">
        <w:rPr>
          <w:rFonts w:ascii="Arial" w:hAnsi="Arial" w:cs="Arial"/>
          <w:b/>
          <w:bCs/>
          <w:sz w:val="36"/>
          <w:szCs w:val="36"/>
        </w:rPr>
        <w:t xml:space="preserve"> North America</w:t>
      </w:r>
    </w:p>
    <w:p w14:paraId="4F51681D" w14:textId="02B1F511" w:rsidR="00384E25" w:rsidRPr="00A8123C" w:rsidRDefault="00384E25" w:rsidP="00A8123C">
      <w:pPr>
        <w:spacing w:after="0" w:line="240" w:lineRule="auto"/>
        <w:rPr>
          <w:rFonts w:ascii="Arial" w:hAnsi="Arial" w:cs="Arial"/>
          <w:b/>
          <w:bCs/>
          <w:sz w:val="36"/>
          <w:szCs w:val="36"/>
        </w:rPr>
      </w:pPr>
      <w:r w:rsidRPr="00A8123C">
        <w:rPr>
          <w:rFonts w:ascii="Arial" w:hAnsi="Arial" w:cs="Arial"/>
          <w:b/>
          <w:bCs/>
          <w:sz w:val="36"/>
          <w:szCs w:val="36"/>
        </w:rPr>
        <w:t>General terms and conditions – 2025</w:t>
      </w:r>
    </w:p>
    <w:p w14:paraId="5020F22D" w14:textId="77777777" w:rsidR="00384E25" w:rsidRPr="00A8123C" w:rsidRDefault="00384E25" w:rsidP="00A8123C">
      <w:pPr>
        <w:spacing w:after="0" w:line="240" w:lineRule="auto"/>
        <w:rPr>
          <w:rFonts w:ascii="Arial" w:hAnsi="Arial" w:cs="Arial"/>
          <w:b/>
          <w:bCs/>
          <w:sz w:val="36"/>
          <w:szCs w:val="36"/>
        </w:rPr>
      </w:pPr>
    </w:p>
    <w:p w14:paraId="52BA4825"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1.</w:t>
      </w:r>
      <w:r w:rsidRPr="00A8123C">
        <w:rPr>
          <w:rStyle w:val="Bold"/>
          <w:rFonts w:ascii="Arial" w:hAnsi="Arial" w:cs="Arial"/>
          <w:sz w:val="24"/>
          <w:szCs w:val="24"/>
        </w:rPr>
        <w:tab/>
        <w:t>To place an order</w:t>
      </w:r>
    </w:p>
    <w:p w14:paraId="4F6E8497" w14:textId="455E4AFC"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 xml:space="preserve">Orders for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products may be placed online, by mail, telephone, fax, or through a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Representative. All orders will be processed through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All orders placed before 12:00 p.m. Pacific Time will be shipped the same day, pending product availability. </w:t>
      </w:r>
      <w:proofErr w:type="spellStart"/>
      <w:r w:rsidRPr="00A8123C">
        <w:rPr>
          <w:rFonts w:ascii="Arial" w:hAnsi="Arial" w:cs="Arial"/>
          <w:sz w:val="24"/>
          <w:szCs w:val="24"/>
        </w:rPr>
        <w:t>NobelProcera</w:t>
      </w:r>
      <w:proofErr w:type="spellEnd"/>
      <w:r w:rsidRPr="00A8123C">
        <w:rPr>
          <w:rFonts w:ascii="Arial" w:hAnsi="Arial" w:cs="Arial"/>
          <w:sz w:val="24"/>
          <w:szCs w:val="24"/>
        </w:rPr>
        <w:t>® individualized (i.e., customized) products will be delivered from Mahwah, New Jersey, based on product-specific lead times.</w:t>
      </w:r>
    </w:p>
    <w:p w14:paraId="5DE163D4"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2ABFA717"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2.</w:t>
      </w:r>
      <w:r w:rsidRPr="00A8123C">
        <w:rPr>
          <w:rStyle w:val="Bold"/>
          <w:rFonts w:ascii="Arial" w:hAnsi="Arial" w:cs="Arial"/>
          <w:sz w:val="24"/>
          <w:szCs w:val="24"/>
        </w:rPr>
        <w:tab/>
        <w:t>Terms and billing</w:t>
      </w:r>
    </w:p>
    <w:p w14:paraId="122601BD" w14:textId="77777777" w:rsidR="00A8123C" w:rsidRDefault="00A8123C" w:rsidP="00A8123C">
      <w:pPr>
        <w:pStyle w:val="Fineprint-710pt-hangingindent"/>
        <w:spacing w:line="240" w:lineRule="auto"/>
        <w:ind w:left="0" w:firstLine="0"/>
        <w:rPr>
          <w:rStyle w:val="Bold"/>
          <w:rFonts w:ascii="Arial" w:hAnsi="Arial" w:cs="Arial"/>
          <w:sz w:val="24"/>
          <w:szCs w:val="24"/>
        </w:rPr>
      </w:pPr>
    </w:p>
    <w:p w14:paraId="4268D0D7" w14:textId="51B11957" w:rsid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2.1.</w:t>
      </w:r>
      <w:r w:rsidRPr="00A8123C">
        <w:rPr>
          <w:rStyle w:val="Bold"/>
          <w:rFonts w:ascii="Arial" w:hAnsi="Arial" w:cs="Arial"/>
          <w:sz w:val="24"/>
          <w:szCs w:val="24"/>
        </w:rPr>
        <w:tab/>
        <w:t>Payment terms</w:t>
      </w:r>
      <w:r w:rsidRPr="00A8123C">
        <w:rPr>
          <w:rFonts w:ascii="Arial" w:hAnsi="Arial" w:cs="Arial"/>
          <w:sz w:val="24"/>
          <w:szCs w:val="24"/>
        </w:rPr>
        <w:tab/>
      </w:r>
    </w:p>
    <w:p w14:paraId="7FD965B3" w14:textId="73B6AF1D"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 xml:space="preserve">Initial purchase is to be paid by credit card. Future payments may be made using MasterCard, Visa, or American Express, or billed as Net 30 days. Our standard terms of payment are by credit card or billed as Net 30 days. Leasing options are available; please contact the Accounting Department at 1 800 993 8100 (option #8) to confirm eligibility.  </w:t>
      </w:r>
    </w:p>
    <w:p w14:paraId="65725386" w14:textId="77777777" w:rsidR="00A8123C" w:rsidRDefault="00A8123C" w:rsidP="00A8123C">
      <w:pPr>
        <w:pStyle w:val="Fineprint-710pt-hangingindent"/>
        <w:spacing w:line="240" w:lineRule="auto"/>
        <w:ind w:left="0" w:firstLine="0"/>
        <w:rPr>
          <w:rStyle w:val="Bold"/>
          <w:rFonts w:ascii="Arial" w:hAnsi="Arial" w:cs="Arial"/>
          <w:sz w:val="24"/>
          <w:szCs w:val="24"/>
        </w:rPr>
      </w:pPr>
    </w:p>
    <w:p w14:paraId="190D72BB" w14:textId="11F0FEF9"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2.2.</w:t>
      </w:r>
      <w:r w:rsidRPr="00A8123C">
        <w:rPr>
          <w:rStyle w:val="Bold"/>
          <w:rFonts w:ascii="Arial" w:hAnsi="Arial" w:cs="Arial"/>
          <w:sz w:val="24"/>
          <w:szCs w:val="24"/>
        </w:rPr>
        <w:tab/>
        <w:t>Shipping charges and title to goods</w:t>
      </w:r>
      <w:r w:rsidRPr="00A8123C">
        <w:rPr>
          <w:rFonts w:ascii="Arial" w:hAnsi="Arial" w:cs="Arial"/>
          <w:sz w:val="24"/>
          <w:szCs w:val="24"/>
        </w:rPr>
        <w:br/>
        <w:t xml:space="preserve">Shipments are made either freight collect or paid by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and added to the invoice. Unless special instructions are received with the customer’s order, the shipping method will be at Nobel </w:t>
      </w:r>
      <w:proofErr w:type="spellStart"/>
      <w:r w:rsidRPr="00A8123C">
        <w:rPr>
          <w:rFonts w:ascii="Arial" w:hAnsi="Arial" w:cs="Arial"/>
          <w:sz w:val="24"/>
          <w:szCs w:val="24"/>
        </w:rPr>
        <w:t>Biocare’s</w:t>
      </w:r>
      <w:proofErr w:type="spellEnd"/>
      <w:r w:rsidRPr="00A8123C">
        <w:rPr>
          <w:rFonts w:ascii="Arial" w:hAnsi="Arial" w:cs="Arial"/>
          <w:sz w:val="24"/>
          <w:szCs w:val="24"/>
        </w:rPr>
        <w:t xml:space="preserve"> option. All shipments will be made Carriage and Insurance Paid “CIP” (Incoterms 2010). Delivery will be deemed complete, and legal title and all risk of loss or damage to the Products will pass to buyer, upon delivery to the carrier. </w:t>
      </w:r>
    </w:p>
    <w:p w14:paraId="54ABFE88" w14:textId="77777777" w:rsidR="00A8123C" w:rsidRDefault="00A8123C" w:rsidP="00A8123C">
      <w:pPr>
        <w:pStyle w:val="Fineprint-710pt-hangingindent"/>
        <w:spacing w:line="240" w:lineRule="auto"/>
        <w:ind w:left="0" w:firstLine="0"/>
        <w:rPr>
          <w:rStyle w:val="Bold"/>
          <w:rFonts w:ascii="Arial" w:hAnsi="Arial" w:cs="Arial"/>
          <w:sz w:val="24"/>
          <w:szCs w:val="24"/>
        </w:rPr>
      </w:pPr>
    </w:p>
    <w:p w14:paraId="776F7A57" w14:textId="6DFB16F1"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2.3.</w:t>
      </w:r>
      <w:r w:rsidRPr="00A8123C">
        <w:rPr>
          <w:rStyle w:val="Bold"/>
          <w:rFonts w:ascii="Arial" w:hAnsi="Arial" w:cs="Arial"/>
          <w:sz w:val="24"/>
          <w:szCs w:val="24"/>
        </w:rPr>
        <w:tab/>
        <w:t>Order confirmation</w:t>
      </w:r>
      <w:r w:rsidRPr="00A8123C">
        <w:rPr>
          <w:rFonts w:ascii="Arial" w:hAnsi="Arial" w:cs="Arial"/>
          <w:sz w:val="24"/>
          <w:szCs w:val="24"/>
        </w:rPr>
        <w:tab/>
      </w:r>
      <w:r w:rsidRPr="00A8123C">
        <w:rPr>
          <w:rFonts w:ascii="Arial" w:hAnsi="Arial" w:cs="Arial"/>
          <w:sz w:val="24"/>
          <w:szCs w:val="24"/>
        </w:rPr>
        <w:tab/>
      </w:r>
      <w:r w:rsidRPr="00A8123C">
        <w:rPr>
          <w:rFonts w:ascii="Arial" w:hAnsi="Arial" w:cs="Arial"/>
          <w:sz w:val="24"/>
          <w:szCs w:val="24"/>
        </w:rPr>
        <w:br/>
        <w:t xml:space="preserve">When an order is placed to purchase a product, the order represents an offer to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to purchase a product. The order is accepted by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when either a written confirmation of the order (e.g., by email or fax) is sent to customer, or product is transferred to carrier for delivery to customer without written confirmation. Any products on the same order, which have not been confirmed in writing or by shipment to customer, do not form part of the contract between customer and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w:t>
      </w:r>
    </w:p>
    <w:p w14:paraId="0AB557D7"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69F78CB9"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3.</w:t>
      </w:r>
      <w:r w:rsidRPr="00A8123C">
        <w:rPr>
          <w:rStyle w:val="Bold"/>
          <w:rFonts w:ascii="Arial" w:hAnsi="Arial" w:cs="Arial"/>
          <w:sz w:val="24"/>
          <w:szCs w:val="24"/>
        </w:rPr>
        <w:tab/>
        <w:t>System Guarantee Program</w:t>
      </w:r>
    </w:p>
    <w:p w14:paraId="58DE8932" w14:textId="474FC92E"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 xml:space="preserve">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implants and abutments are covered by a unique comprehensive Lifetime System Guarantee Program.</w:t>
      </w:r>
    </w:p>
    <w:p w14:paraId="6C4223E5"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4067F523"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4.</w:t>
      </w:r>
      <w:r w:rsidRPr="00A8123C">
        <w:rPr>
          <w:rStyle w:val="Bold"/>
          <w:rFonts w:ascii="Arial" w:hAnsi="Arial" w:cs="Arial"/>
          <w:sz w:val="24"/>
          <w:szCs w:val="24"/>
        </w:rPr>
        <w:tab/>
      </w:r>
      <w:proofErr w:type="spellStart"/>
      <w:r w:rsidRPr="00A8123C">
        <w:rPr>
          <w:rStyle w:val="Bold"/>
          <w:rFonts w:ascii="Arial" w:hAnsi="Arial" w:cs="Arial"/>
          <w:sz w:val="24"/>
          <w:szCs w:val="24"/>
        </w:rPr>
        <w:t>NobelProcera</w:t>
      </w:r>
      <w:proofErr w:type="spellEnd"/>
      <w:r w:rsidRPr="00A8123C">
        <w:rPr>
          <w:rStyle w:val="Bold"/>
          <w:rFonts w:ascii="Arial" w:hAnsi="Arial" w:cs="Arial"/>
          <w:sz w:val="24"/>
          <w:szCs w:val="24"/>
        </w:rPr>
        <w:t>® terms and conditions</w:t>
      </w:r>
    </w:p>
    <w:p w14:paraId="6F341D99" w14:textId="77777777" w:rsidR="00384E25" w:rsidRPr="00A8123C" w:rsidRDefault="00384E25" w:rsidP="00A8123C">
      <w:pPr>
        <w:pStyle w:val="Fineprint-710pt-hangingindentwbullets"/>
        <w:spacing w:line="240" w:lineRule="auto"/>
        <w:ind w:left="0" w:firstLine="0"/>
        <w:rPr>
          <w:rFonts w:ascii="Arial" w:hAnsi="Arial" w:cs="Arial"/>
          <w:sz w:val="24"/>
          <w:szCs w:val="24"/>
        </w:rPr>
      </w:pPr>
      <w:r w:rsidRPr="00A8123C">
        <w:rPr>
          <w:rFonts w:ascii="Arial" w:hAnsi="Arial" w:cs="Arial"/>
          <w:sz w:val="24"/>
          <w:szCs w:val="24"/>
        </w:rPr>
        <w:t>–</w:t>
      </w:r>
      <w:r w:rsidRPr="00A8123C">
        <w:rPr>
          <w:rFonts w:ascii="Arial" w:hAnsi="Arial" w:cs="Arial"/>
          <w:sz w:val="24"/>
          <w:szCs w:val="24"/>
        </w:rPr>
        <w:tab/>
        <w:t xml:space="preserve">10-year warranty on all </w:t>
      </w:r>
      <w:proofErr w:type="spellStart"/>
      <w:r w:rsidRPr="00A8123C">
        <w:rPr>
          <w:rFonts w:ascii="Arial" w:hAnsi="Arial" w:cs="Arial"/>
          <w:sz w:val="24"/>
          <w:szCs w:val="24"/>
        </w:rPr>
        <w:t>NobelProcera</w:t>
      </w:r>
      <w:proofErr w:type="spellEnd"/>
      <w:r w:rsidRPr="00A8123C">
        <w:rPr>
          <w:rFonts w:ascii="Arial" w:hAnsi="Arial" w:cs="Arial"/>
          <w:sz w:val="24"/>
          <w:szCs w:val="24"/>
        </w:rPr>
        <w:t xml:space="preserve"> Products.</w:t>
      </w:r>
    </w:p>
    <w:p w14:paraId="3D606746" w14:textId="77777777" w:rsidR="00384E25" w:rsidRPr="00A8123C" w:rsidRDefault="00384E25" w:rsidP="00A8123C">
      <w:pPr>
        <w:pStyle w:val="Fineprint-710pt-hangingindentwbullets"/>
        <w:spacing w:line="240" w:lineRule="auto"/>
        <w:ind w:left="0" w:firstLine="0"/>
        <w:rPr>
          <w:rFonts w:ascii="Arial" w:hAnsi="Arial" w:cs="Arial"/>
          <w:sz w:val="24"/>
          <w:szCs w:val="24"/>
        </w:rPr>
      </w:pPr>
      <w:r w:rsidRPr="00A8123C">
        <w:rPr>
          <w:rFonts w:ascii="Arial" w:hAnsi="Arial" w:cs="Arial"/>
          <w:sz w:val="24"/>
          <w:szCs w:val="24"/>
        </w:rPr>
        <w:t>–</w:t>
      </w:r>
      <w:r w:rsidRPr="00A8123C">
        <w:rPr>
          <w:rFonts w:ascii="Arial" w:hAnsi="Arial" w:cs="Arial"/>
          <w:sz w:val="24"/>
          <w:szCs w:val="24"/>
        </w:rPr>
        <w:tab/>
        <w:t xml:space="preserve">Does not cover additional costs like dental lab material or labor costs – only </w:t>
      </w:r>
      <w:proofErr w:type="spellStart"/>
      <w:r w:rsidRPr="00A8123C">
        <w:rPr>
          <w:rFonts w:ascii="Arial" w:hAnsi="Arial" w:cs="Arial"/>
          <w:sz w:val="24"/>
          <w:szCs w:val="24"/>
        </w:rPr>
        <w:t>NobelProcera</w:t>
      </w:r>
      <w:proofErr w:type="spellEnd"/>
      <w:r w:rsidRPr="00A8123C">
        <w:rPr>
          <w:rFonts w:ascii="Arial" w:hAnsi="Arial" w:cs="Arial"/>
          <w:sz w:val="24"/>
          <w:szCs w:val="24"/>
        </w:rPr>
        <w:t xml:space="preserve"> Products.</w:t>
      </w:r>
    </w:p>
    <w:p w14:paraId="3666C976" w14:textId="77777777" w:rsidR="00384E25" w:rsidRPr="00A8123C" w:rsidRDefault="00384E25" w:rsidP="00A8123C">
      <w:pPr>
        <w:pStyle w:val="Fineprint-710pt-hangingindentwbullets"/>
        <w:spacing w:line="240" w:lineRule="auto"/>
        <w:ind w:left="0" w:firstLine="0"/>
        <w:rPr>
          <w:rFonts w:ascii="Arial" w:hAnsi="Arial" w:cs="Arial"/>
          <w:sz w:val="24"/>
          <w:szCs w:val="24"/>
        </w:rPr>
      </w:pPr>
      <w:r w:rsidRPr="00A8123C">
        <w:rPr>
          <w:rFonts w:ascii="Arial" w:hAnsi="Arial" w:cs="Arial"/>
          <w:sz w:val="24"/>
          <w:szCs w:val="24"/>
        </w:rPr>
        <w:t>–</w:t>
      </w:r>
      <w:r w:rsidRPr="00A8123C">
        <w:rPr>
          <w:rFonts w:ascii="Arial" w:hAnsi="Arial" w:cs="Arial"/>
          <w:sz w:val="24"/>
          <w:szCs w:val="24"/>
        </w:rPr>
        <w:tab/>
        <w:t xml:space="preserve">The handling of the products must comply with the instructions from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as published at the time for the preparation and treatment.</w:t>
      </w:r>
    </w:p>
    <w:p w14:paraId="204B9653" w14:textId="77777777" w:rsidR="00384E25" w:rsidRPr="00A8123C" w:rsidRDefault="00384E25" w:rsidP="00A8123C">
      <w:pPr>
        <w:pStyle w:val="Fineprint-710pt-hangingindentwbullets"/>
        <w:spacing w:line="240" w:lineRule="auto"/>
        <w:ind w:left="0" w:firstLine="0"/>
        <w:rPr>
          <w:rFonts w:ascii="Arial" w:hAnsi="Arial" w:cs="Arial"/>
          <w:sz w:val="24"/>
          <w:szCs w:val="24"/>
        </w:rPr>
      </w:pPr>
      <w:r w:rsidRPr="00A8123C">
        <w:rPr>
          <w:rFonts w:ascii="Arial" w:hAnsi="Arial" w:cs="Arial"/>
          <w:sz w:val="24"/>
          <w:szCs w:val="24"/>
        </w:rPr>
        <w:lastRenderedPageBreak/>
        <w:t>–</w:t>
      </w:r>
      <w:r w:rsidRPr="00A8123C">
        <w:rPr>
          <w:rFonts w:ascii="Arial" w:hAnsi="Arial" w:cs="Arial"/>
          <w:sz w:val="24"/>
          <w:szCs w:val="24"/>
        </w:rPr>
        <w:tab/>
        <w:t>Does not cover failures due to trauma.</w:t>
      </w:r>
    </w:p>
    <w:p w14:paraId="0ED2BB8E" w14:textId="77777777" w:rsidR="00384E25" w:rsidRPr="00A8123C" w:rsidRDefault="00384E25" w:rsidP="00A8123C">
      <w:pPr>
        <w:pStyle w:val="Fineprint-710pt-hangingindentwbullets"/>
        <w:spacing w:line="240" w:lineRule="auto"/>
        <w:ind w:left="0" w:firstLine="0"/>
        <w:rPr>
          <w:rFonts w:ascii="Arial" w:hAnsi="Arial" w:cs="Arial"/>
          <w:sz w:val="24"/>
          <w:szCs w:val="24"/>
        </w:rPr>
      </w:pPr>
      <w:r w:rsidRPr="00A8123C">
        <w:rPr>
          <w:rFonts w:ascii="Arial" w:hAnsi="Arial" w:cs="Arial"/>
          <w:sz w:val="24"/>
          <w:szCs w:val="24"/>
        </w:rPr>
        <w:t>–</w:t>
      </w:r>
      <w:r w:rsidRPr="00A8123C">
        <w:rPr>
          <w:rFonts w:ascii="Arial" w:hAnsi="Arial" w:cs="Arial"/>
          <w:sz w:val="24"/>
          <w:szCs w:val="24"/>
        </w:rPr>
        <w:tab/>
        <w:t xml:space="preserve">Complaints are to be sent by using the </w:t>
      </w:r>
      <w:proofErr w:type="spellStart"/>
      <w:r w:rsidRPr="00A8123C">
        <w:rPr>
          <w:rFonts w:ascii="Arial" w:hAnsi="Arial" w:cs="Arial"/>
          <w:sz w:val="24"/>
          <w:szCs w:val="24"/>
        </w:rPr>
        <w:t>NobelProcera</w:t>
      </w:r>
      <w:proofErr w:type="spellEnd"/>
      <w:r w:rsidRPr="00A8123C">
        <w:rPr>
          <w:rFonts w:ascii="Arial" w:hAnsi="Arial" w:cs="Arial"/>
          <w:sz w:val="24"/>
          <w:szCs w:val="24"/>
        </w:rPr>
        <w:t xml:space="preserve"> Software with the original file names and the appropriate complaint codes.</w:t>
      </w:r>
    </w:p>
    <w:p w14:paraId="4572026A"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41D36F74"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w:t>
      </w:r>
      <w:r w:rsidRPr="00A8123C">
        <w:rPr>
          <w:rStyle w:val="Bold"/>
          <w:rFonts w:ascii="Arial" w:hAnsi="Arial" w:cs="Arial"/>
          <w:sz w:val="24"/>
          <w:szCs w:val="24"/>
        </w:rPr>
        <w:tab/>
        <w:t xml:space="preserve">Nobel </w:t>
      </w:r>
      <w:proofErr w:type="spellStart"/>
      <w:r w:rsidRPr="00A8123C">
        <w:rPr>
          <w:rStyle w:val="Bold"/>
          <w:rFonts w:ascii="Arial" w:hAnsi="Arial" w:cs="Arial"/>
          <w:sz w:val="24"/>
          <w:szCs w:val="24"/>
        </w:rPr>
        <w:t>Biocare</w:t>
      </w:r>
      <w:proofErr w:type="spellEnd"/>
      <w:r w:rsidRPr="00A8123C">
        <w:rPr>
          <w:rStyle w:val="Bold"/>
          <w:rFonts w:ascii="Arial" w:hAnsi="Arial" w:cs="Arial"/>
          <w:sz w:val="24"/>
          <w:szCs w:val="24"/>
        </w:rPr>
        <w:t xml:space="preserve"> Return Policy</w:t>
      </w:r>
    </w:p>
    <w:p w14:paraId="0B551FD1" w14:textId="5AE5D48F"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 xml:space="preserve">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offers you the opportunity to return Products</w:t>
      </w:r>
      <w:r w:rsidRPr="00A8123C">
        <w:rPr>
          <w:rStyle w:val="Superscript"/>
          <w:rFonts w:ascii="Arial" w:hAnsi="Arial" w:cs="Arial"/>
          <w:sz w:val="24"/>
          <w:szCs w:val="24"/>
        </w:rPr>
        <w:t>1</w:t>
      </w:r>
      <w:r w:rsidRPr="00A8123C">
        <w:rPr>
          <w:rFonts w:ascii="Arial" w:hAnsi="Arial" w:cs="Arial"/>
          <w:sz w:val="24"/>
          <w:szCs w:val="24"/>
        </w:rPr>
        <w:t xml:space="preserve"> purchased from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to the terms and conditions set out in this Return Policy:</w:t>
      </w:r>
    </w:p>
    <w:p w14:paraId="53525362" w14:textId="77777777" w:rsidR="00A8123C" w:rsidRDefault="00A8123C" w:rsidP="00A8123C">
      <w:pPr>
        <w:pStyle w:val="Fineprint-710pt-hangingindent"/>
        <w:spacing w:line="240" w:lineRule="auto"/>
        <w:ind w:left="0" w:firstLine="0"/>
        <w:rPr>
          <w:rFonts w:ascii="Arial" w:hAnsi="Arial" w:cs="Arial"/>
          <w:sz w:val="24"/>
          <w:szCs w:val="24"/>
        </w:rPr>
      </w:pPr>
    </w:p>
    <w:p w14:paraId="5BB240AF" w14:textId="453D14C3"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5.1.</w:t>
      </w:r>
      <w:r w:rsidRPr="00A8123C">
        <w:rPr>
          <w:rFonts w:ascii="Arial" w:hAnsi="Arial" w:cs="Arial"/>
          <w:sz w:val="24"/>
          <w:szCs w:val="24"/>
        </w:rPr>
        <w:tab/>
      </w:r>
      <w:r w:rsidRPr="00A8123C">
        <w:rPr>
          <w:rFonts w:ascii="Arial" w:hAnsi="Arial" w:cs="Arial"/>
          <w:sz w:val="24"/>
          <w:szCs w:val="24"/>
        </w:rPr>
        <w:br/>
        <w:t xml:space="preserve">You may return Products purchased from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within sixty (60) days from the invoice date of the respective Products.</w:t>
      </w:r>
    </w:p>
    <w:p w14:paraId="52CD1413" w14:textId="77777777" w:rsidR="00A8123C" w:rsidRDefault="00A8123C" w:rsidP="00A8123C">
      <w:pPr>
        <w:pStyle w:val="Fineprint-710pt-hangingindent"/>
        <w:spacing w:line="240" w:lineRule="auto"/>
        <w:ind w:left="0" w:firstLine="0"/>
        <w:rPr>
          <w:rFonts w:ascii="Arial" w:hAnsi="Arial" w:cs="Arial"/>
          <w:sz w:val="24"/>
          <w:szCs w:val="24"/>
        </w:rPr>
      </w:pPr>
    </w:p>
    <w:p w14:paraId="60685669" w14:textId="2930DE4E"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5.2.</w:t>
      </w:r>
      <w:r w:rsidRPr="00A8123C">
        <w:rPr>
          <w:rFonts w:ascii="Arial" w:hAnsi="Arial" w:cs="Arial"/>
          <w:sz w:val="24"/>
          <w:szCs w:val="24"/>
        </w:rPr>
        <w:tab/>
      </w:r>
      <w:r w:rsidRPr="00A8123C">
        <w:rPr>
          <w:rFonts w:ascii="Arial" w:hAnsi="Arial" w:cs="Arial"/>
          <w:sz w:val="24"/>
          <w:szCs w:val="24"/>
        </w:rPr>
        <w:br/>
        <w:t xml:space="preserve">The purchase price for returned Products will be credited to your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customer account. </w:t>
      </w:r>
    </w:p>
    <w:p w14:paraId="3E1FD871" w14:textId="77777777" w:rsidR="00A8123C" w:rsidRDefault="00A8123C" w:rsidP="00A8123C">
      <w:pPr>
        <w:pStyle w:val="Fineprint-710pt-hangingindent"/>
        <w:spacing w:line="240" w:lineRule="auto"/>
        <w:ind w:left="0" w:firstLine="0"/>
        <w:rPr>
          <w:rFonts w:ascii="Arial" w:hAnsi="Arial" w:cs="Arial"/>
          <w:sz w:val="24"/>
          <w:szCs w:val="24"/>
        </w:rPr>
      </w:pPr>
    </w:p>
    <w:p w14:paraId="1DC7D602" w14:textId="1EEE7C36"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5.3.</w:t>
      </w:r>
      <w:r w:rsidRPr="00A8123C">
        <w:rPr>
          <w:rFonts w:ascii="Arial" w:hAnsi="Arial" w:cs="Arial"/>
          <w:sz w:val="24"/>
          <w:szCs w:val="24"/>
        </w:rPr>
        <w:tab/>
      </w:r>
      <w:r w:rsidRPr="00A8123C">
        <w:rPr>
          <w:rFonts w:ascii="Arial" w:hAnsi="Arial" w:cs="Arial"/>
          <w:sz w:val="24"/>
          <w:szCs w:val="24"/>
        </w:rPr>
        <w:br/>
        <w:t xml:space="preserve">You may also return Products purchased from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within twelve (12) months from the invoice date of the respective Products against an order of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products of a value equal to or higher than the value of the returned Products. </w:t>
      </w:r>
    </w:p>
    <w:p w14:paraId="10FCD2B9" w14:textId="77777777" w:rsidR="00A8123C" w:rsidRDefault="00A8123C" w:rsidP="00A8123C">
      <w:pPr>
        <w:pStyle w:val="Fineprint-710pt-hangingindent"/>
        <w:spacing w:line="240" w:lineRule="auto"/>
        <w:ind w:left="0" w:firstLine="0"/>
        <w:rPr>
          <w:rFonts w:ascii="Arial" w:hAnsi="Arial" w:cs="Arial"/>
          <w:sz w:val="24"/>
          <w:szCs w:val="24"/>
        </w:rPr>
      </w:pPr>
    </w:p>
    <w:p w14:paraId="1669D8BB" w14:textId="527C98C0"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5.4.</w:t>
      </w:r>
      <w:r w:rsidRPr="00A8123C">
        <w:rPr>
          <w:rFonts w:ascii="Arial" w:hAnsi="Arial" w:cs="Arial"/>
          <w:sz w:val="24"/>
          <w:szCs w:val="24"/>
        </w:rPr>
        <w:tab/>
      </w:r>
      <w:r w:rsidRPr="00A8123C">
        <w:rPr>
          <w:rFonts w:ascii="Arial" w:hAnsi="Arial" w:cs="Arial"/>
          <w:sz w:val="24"/>
          <w:szCs w:val="24"/>
        </w:rPr>
        <w:br/>
        <w:t>You may only return Products that are still in their intact original packaging. In particular, the original packaging and the Products may not be damaged, marked, or otherwise altered.</w:t>
      </w:r>
    </w:p>
    <w:p w14:paraId="22A00C5F" w14:textId="77777777" w:rsidR="00A8123C" w:rsidRDefault="00A8123C" w:rsidP="00A8123C">
      <w:pPr>
        <w:pStyle w:val="Fineprint-710pt-hangingindent"/>
        <w:spacing w:line="240" w:lineRule="auto"/>
        <w:ind w:left="0" w:firstLine="0"/>
        <w:rPr>
          <w:rFonts w:ascii="Arial" w:hAnsi="Arial" w:cs="Arial"/>
          <w:sz w:val="24"/>
          <w:szCs w:val="24"/>
        </w:rPr>
      </w:pPr>
    </w:p>
    <w:p w14:paraId="75AC34C7" w14:textId="244C6A8B"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5.5.</w:t>
      </w:r>
      <w:r w:rsidRPr="00A8123C">
        <w:rPr>
          <w:rFonts w:ascii="Arial" w:hAnsi="Arial" w:cs="Arial"/>
          <w:sz w:val="24"/>
          <w:szCs w:val="24"/>
        </w:rPr>
        <w:tab/>
      </w:r>
      <w:r w:rsidRPr="00A8123C">
        <w:rPr>
          <w:rFonts w:ascii="Arial" w:hAnsi="Arial" w:cs="Arial"/>
          <w:sz w:val="24"/>
          <w:szCs w:val="24"/>
        </w:rPr>
        <w:br/>
        <w:t xml:space="preserve">No product tied to a promotion may be returned for </w:t>
      </w:r>
      <w:proofErr w:type="gramStart"/>
      <w:r w:rsidRPr="00A8123C">
        <w:rPr>
          <w:rFonts w:ascii="Arial" w:hAnsi="Arial" w:cs="Arial"/>
          <w:sz w:val="24"/>
          <w:szCs w:val="24"/>
        </w:rPr>
        <w:t>credit;</w:t>
      </w:r>
      <w:proofErr w:type="gramEnd"/>
      <w:r w:rsidRPr="00A8123C">
        <w:rPr>
          <w:rFonts w:ascii="Arial" w:hAnsi="Arial" w:cs="Arial"/>
          <w:sz w:val="24"/>
          <w:szCs w:val="24"/>
        </w:rPr>
        <w:t xml:space="preserve"> exchange only.</w:t>
      </w:r>
    </w:p>
    <w:p w14:paraId="58DCFC07" w14:textId="77777777" w:rsidR="00A8123C" w:rsidRDefault="00A8123C" w:rsidP="00A8123C">
      <w:pPr>
        <w:pStyle w:val="Fineprint-710pt-hangingindent"/>
        <w:spacing w:line="240" w:lineRule="auto"/>
        <w:ind w:left="0" w:firstLine="0"/>
        <w:rPr>
          <w:rFonts w:ascii="Arial" w:hAnsi="Arial" w:cs="Arial"/>
          <w:sz w:val="24"/>
          <w:szCs w:val="24"/>
        </w:rPr>
      </w:pPr>
    </w:p>
    <w:p w14:paraId="6A71B4FF" w14:textId="436D72E1"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5.6.</w:t>
      </w:r>
      <w:r w:rsidRPr="00A8123C">
        <w:rPr>
          <w:rFonts w:ascii="Arial" w:hAnsi="Arial" w:cs="Arial"/>
          <w:sz w:val="24"/>
          <w:szCs w:val="24"/>
        </w:rPr>
        <w:tab/>
      </w:r>
      <w:r w:rsidRPr="00A8123C">
        <w:rPr>
          <w:rFonts w:ascii="Arial" w:hAnsi="Arial" w:cs="Arial"/>
          <w:sz w:val="24"/>
          <w:szCs w:val="24"/>
        </w:rPr>
        <w:br/>
        <w:t xml:space="preserve">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may modify or terminate this Return Policy at any time in whole or in part. Changes to or the termination of the Return Policy will not affect the return rights granted under this Return Policy for Products purchased prior to the date of the change or termination.</w:t>
      </w:r>
    </w:p>
    <w:p w14:paraId="15CFA6B6" w14:textId="77777777" w:rsidR="00A8123C" w:rsidRDefault="00A8123C" w:rsidP="00A8123C">
      <w:pPr>
        <w:pStyle w:val="Fineprint-710pt-hangingindent"/>
        <w:spacing w:line="240" w:lineRule="auto"/>
        <w:ind w:left="0" w:firstLine="0"/>
        <w:rPr>
          <w:rFonts w:ascii="Arial" w:hAnsi="Arial" w:cs="Arial"/>
          <w:sz w:val="24"/>
          <w:szCs w:val="24"/>
        </w:rPr>
      </w:pPr>
    </w:p>
    <w:p w14:paraId="27397A79" w14:textId="6E24D36B" w:rsidR="00384E25" w:rsidRPr="00A8123C" w:rsidRDefault="00384E25" w:rsidP="00A8123C">
      <w:pPr>
        <w:pStyle w:val="Fineprint-710pt-hangingindent"/>
        <w:spacing w:line="240" w:lineRule="auto"/>
        <w:ind w:left="0" w:firstLine="0"/>
        <w:rPr>
          <w:rFonts w:ascii="Arial" w:hAnsi="Arial" w:cs="Arial"/>
          <w:spacing w:val="-1"/>
          <w:sz w:val="24"/>
          <w:szCs w:val="24"/>
        </w:rPr>
      </w:pPr>
      <w:r w:rsidRPr="00A8123C">
        <w:rPr>
          <w:rStyle w:val="Bold"/>
          <w:rFonts w:ascii="Arial" w:hAnsi="Arial" w:cs="Arial"/>
          <w:sz w:val="24"/>
          <w:szCs w:val="24"/>
        </w:rPr>
        <w:t>5.7.</w:t>
      </w:r>
      <w:r w:rsidRPr="00A8123C">
        <w:rPr>
          <w:rFonts w:ascii="Arial" w:hAnsi="Arial" w:cs="Arial"/>
          <w:sz w:val="24"/>
          <w:szCs w:val="24"/>
        </w:rPr>
        <w:tab/>
      </w:r>
      <w:r w:rsidRPr="00A8123C">
        <w:rPr>
          <w:rFonts w:ascii="Arial" w:hAnsi="Arial" w:cs="Arial"/>
          <w:sz w:val="24"/>
          <w:szCs w:val="24"/>
        </w:rPr>
        <w:br/>
      </w:r>
      <w:r w:rsidRPr="00A8123C">
        <w:rPr>
          <w:rFonts w:ascii="Arial" w:hAnsi="Arial" w:cs="Arial"/>
          <w:spacing w:val="-1"/>
          <w:sz w:val="24"/>
          <w:szCs w:val="24"/>
        </w:rPr>
        <w:t xml:space="preserve">This Return Policy sets forth the entire understanding regarding the return and exchange of Products and supersedes all prior agreements and discussions relating to the return and exchange of Products. This Return Policy applies to all Nobel </w:t>
      </w:r>
      <w:proofErr w:type="spellStart"/>
      <w:r w:rsidRPr="00A8123C">
        <w:rPr>
          <w:rFonts w:ascii="Arial" w:hAnsi="Arial" w:cs="Arial"/>
          <w:spacing w:val="-1"/>
          <w:sz w:val="24"/>
          <w:szCs w:val="24"/>
        </w:rPr>
        <w:t>Biocare</w:t>
      </w:r>
      <w:proofErr w:type="spellEnd"/>
      <w:r w:rsidRPr="00A8123C">
        <w:rPr>
          <w:rFonts w:ascii="Arial" w:hAnsi="Arial" w:cs="Arial"/>
          <w:spacing w:val="-1"/>
          <w:sz w:val="24"/>
          <w:szCs w:val="24"/>
        </w:rPr>
        <w:t xml:space="preserve"> companies.</w:t>
      </w:r>
    </w:p>
    <w:p w14:paraId="6C305AA0" w14:textId="77777777" w:rsidR="00A8123C" w:rsidRDefault="00A8123C" w:rsidP="00A8123C">
      <w:pPr>
        <w:pStyle w:val="Fineprint-710pt-hangingindent"/>
        <w:spacing w:line="240" w:lineRule="auto"/>
        <w:ind w:left="0" w:firstLine="0"/>
        <w:rPr>
          <w:rFonts w:ascii="Arial" w:hAnsi="Arial" w:cs="Arial"/>
          <w:sz w:val="24"/>
          <w:szCs w:val="24"/>
        </w:rPr>
      </w:pPr>
    </w:p>
    <w:p w14:paraId="631C33A5" w14:textId="2FAF1E76"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5.8</w:t>
      </w:r>
      <w:r w:rsidRPr="00A8123C">
        <w:rPr>
          <w:rFonts w:ascii="Arial" w:hAnsi="Arial" w:cs="Arial"/>
          <w:sz w:val="24"/>
          <w:szCs w:val="24"/>
        </w:rPr>
        <w:tab/>
      </w:r>
      <w:r w:rsidRPr="00A8123C">
        <w:rPr>
          <w:rFonts w:ascii="Arial" w:hAnsi="Arial" w:cs="Arial"/>
          <w:sz w:val="24"/>
          <w:szCs w:val="24"/>
        </w:rPr>
        <w:br/>
        <w:t>Capital equipment and third-party products are excluded from this Return Policy.</w:t>
      </w:r>
    </w:p>
    <w:p w14:paraId="10E7D6CC" w14:textId="77777777" w:rsidR="00A8123C" w:rsidRDefault="00A8123C" w:rsidP="00A8123C">
      <w:pPr>
        <w:pStyle w:val="Fineprint-710pt-hangingindent"/>
        <w:spacing w:line="240" w:lineRule="auto"/>
        <w:ind w:left="0" w:firstLine="0"/>
        <w:rPr>
          <w:rFonts w:ascii="Arial" w:hAnsi="Arial" w:cs="Arial"/>
          <w:sz w:val="24"/>
          <w:szCs w:val="24"/>
        </w:rPr>
      </w:pPr>
    </w:p>
    <w:p w14:paraId="4BF629EA" w14:textId="39EB3F4A"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5.9</w:t>
      </w:r>
      <w:r w:rsidRPr="00A8123C">
        <w:rPr>
          <w:rFonts w:ascii="Arial" w:hAnsi="Arial" w:cs="Arial"/>
          <w:sz w:val="24"/>
          <w:szCs w:val="24"/>
        </w:rPr>
        <w:tab/>
      </w:r>
      <w:r w:rsidRPr="00A8123C">
        <w:rPr>
          <w:rFonts w:ascii="Arial" w:hAnsi="Arial" w:cs="Arial"/>
          <w:sz w:val="24"/>
          <w:szCs w:val="24"/>
        </w:rPr>
        <w:br/>
        <w:t xml:space="preserve">Regenerative product will require a signed Return Authorization Form Regenerative Material (PRO 186200 606) stating product has been stored at the required storage </w:t>
      </w:r>
      <w:r w:rsidRPr="00A8123C">
        <w:rPr>
          <w:rFonts w:ascii="Arial" w:hAnsi="Arial" w:cs="Arial"/>
          <w:sz w:val="24"/>
          <w:szCs w:val="24"/>
        </w:rPr>
        <w:lastRenderedPageBreak/>
        <w:t xml:space="preserve">conditions as indicated on the product label. The form can be returned along with the product as a hard copy or via email. Product should be sent within a 72-hour time frame </w:t>
      </w:r>
      <w:proofErr w:type="gramStart"/>
      <w:r w:rsidRPr="00A8123C">
        <w:rPr>
          <w:rFonts w:ascii="Arial" w:hAnsi="Arial" w:cs="Arial"/>
          <w:sz w:val="24"/>
          <w:szCs w:val="24"/>
        </w:rPr>
        <w:t>in order to</w:t>
      </w:r>
      <w:proofErr w:type="gramEnd"/>
      <w:r w:rsidRPr="00A8123C">
        <w:rPr>
          <w:rFonts w:ascii="Arial" w:hAnsi="Arial" w:cs="Arial"/>
          <w:sz w:val="24"/>
          <w:szCs w:val="24"/>
        </w:rPr>
        <w:t xml:space="preserve"> be accepted back into inventory.</w:t>
      </w:r>
    </w:p>
    <w:p w14:paraId="3DB2E234"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129CC9D2"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6.</w:t>
      </w:r>
      <w:r w:rsidRPr="00A8123C">
        <w:rPr>
          <w:rStyle w:val="Bold"/>
          <w:rFonts w:ascii="Arial" w:hAnsi="Arial" w:cs="Arial"/>
          <w:sz w:val="24"/>
          <w:szCs w:val="24"/>
        </w:rPr>
        <w:tab/>
        <w:t>Shipping discrepancies</w:t>
      </w:r>
    </w:p>
    <w:p w14:paraId="23F74A78" w14:textId="29280C94"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Any shipping discrepancies should be reported to customer support within 48 hours of receipt of shipment.</w:t>
      </w:r>
    </w:p>
    <w:p w14:paraId="60F09484"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087E6B44"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7.</w:t>
      </w:r>
      <w:r w:rsidRPr="00A8123C">
        <w:rPr>
          <w:rStyle w:val="Bold"/>
          <w:rFonts w:ascii="Arial" w:hAnsi="Arial" w:cs="Arial"/>
          <w:sz w:val="24"/>
          <w:szCs w:val="24"/>
        </w:rPr>
        <w:tab/>
        <w:t>Repairs</w:t>
      </w:r>
    </w:p>
    <w:p w14:paraId="74E5C4F9" w14:textId="007753A6" w:rsidR="00384E25" w:rsidRPr="00A8123C" w:rsidRDefault="00384E25" w:rsidP="00A8123C">
      <w:pPr>
        <w:pStyle w:val="Fineprint-710pt-hangingindent"/>
        <w:spacing w:line="240" w:lineRule="auto"/>
        <w:ind w:left="0" w:firstLine="0"/>
        <w:rPr>
          <w:rFonts w:ascii="Arial" w:hAnsi="Arial" w:cs="Arial"/>
          <w:sz w:val="24"/>
          <w:szCs w:val="24"/>
        </w:rPr>
      </w:pPr>
      <w:r w:rsidRPr="00A8123C">
        <w:rPr>
          <w:rFonts w:ascii="Arial" w:hAnsi="Arial" w:cs="Arial"/>
          <w:sz w:val="24"/>
          <w:szCs w:val="24"/>
        </w:rPr>
        <w:t>Should any instrumentation require repair, please contact customer support at 1 800 322 5001 (US) or 1 800 939 9394 (Canada). The representative will issue you instructions on how to proceed with the repair.</w:t>
      </w:r>
    </w:p>
    <w:p w14:paraId="2DC28A48" w14:textId="77777777" w:rsidR="00384E25" w:rsidRPr="00A8123C" w:rsidRDefault="00384E25" w:rsidP="00A8123C">
      <w:pPr>
        <w:pStyle w:val="Fineprint-710pt-hangingindent"/>
        <w:spacing w:line="240" w:lineRule="auto"/>
        <w:ind w:left="0" w:firstLine="0"/>
        <w:rPr>
          <w:rFonts w:ascii="Arial" w:hAnsi="Arial" w:cs="Arial"/>
          <w:sz w:val="24"/>
          <w:szCs w:val="24"/>
        </w:rPr>
      </w:pPr>
    </w:p>
    <w:p w14:paraId="1B3FAF5F" w14:textId="77777777" w:rsidR="00384E25" w:rsidRPr="00A8123C" w:rsidRDefault="00384E25" w:rsidP="00A8123C">
      <w:pPr>
        <w:pStyle w:val="Fineprint-710pt-hangingindent"/>
        <w:spacing w:line="240" w:lineRule="auto"/>
        <w:ind w:left="0" w:firstLine="0"/>
        <w:rPr>
          <w:rFonts w:ascii="Arial" w:hAnsi="Arial" w:cs="Arial"/>
          <w:sz w:val="24"/>
          <w:szCs w:val="24"/>
        </w:rPr>
      </w:pPr>
      <w:r w:rsidRPr="00A8123C">
        <w:rPr>
          <w:rStyle w:val="Bold"/>
          <w:rFonts w:ascii="Arial" w:hAnsi="Arial" w:cs="Arial"/>
          <w:sz w:val="24"/>
          <w:szCs w:val="24"/>
        </w:rPr>
        <w:t>Caution</w:t>
      </w:r>
    </w:p>
    <w:p w14:paraId="7537805D" w14:textId="77777777" w:rsidR="00384E25" w:rsidRPr="00A8123C" w:rsidRDefault="00384E25" w:rsidP="00A8123C">
      <w:pPr>
        <w:pStyle w:val="Fineprint710pt"/>
        <w:spacing w:line="240" w:lineRule="auto"/>
        <w:rPr>
          <w:rFonts w:ascii="Arial" w:hAnsi="Arial" w:cs="Arial"/>
          <w:sz w:val="24"/>
          <w:szCs w:val="24"/>
        </w:rPr>
      </w:pPr>
      <w:r w:rsidRPr="00A8123C">
        <w:rPr>
          <w:rFonts w:ascii="Arial" w:hAnsi="Arial" w:cs="Arial"/>
          <w:sz w:val="24"/>
          <w:szCs w:val="24"/>
        </w:rPr>
        <w:t>Federal (United States/Canada) law restricts this device to sale by or on the order of a licensed clinician, medical professional or physician.</w:t>
      </w:r>
    </w:p>
    <w:p w14:paraId="6D445A1B" w14:textId="77777777" w:rsidR="00384E25" w:rsidRPr="00A8123C" w:rsidRDefault="00384E25" w:rsidP="00A8123C">
      <w:pPr>
        <w:pStyle w:val="Fineprint710pt"/>
        <w:spacing w:line="240" w:lineRule="auto"/>
        <w:rPr>
          <w:rFonts w:ascii="Arial" w:hAnsi="Arial" w:cs="Arial"/>
          <w:sz w:val="24"/>
          <w:szCs w:val="24"/>
        </w:rPr>
      </w:pPr>
    </w:p>
    <w:p w14:paraId="7241B46B" w14:textId="77777777" w:rsidR="00384E25" w:rsidRPr="00A8123C" w:rsidRDefault="00384E25" w:rsidP="00A8123C">
      <w:pPr>
        <w:pStyle w:val="Fineprint710pt"/>
        <w:spacing w:line="240" w:lineRule="auto"/>
        <w:rPr>
          <w:rFonts w:ascii="Arial" w:hAnsi="Arial" w:cs="Arial"/>
          <w:sz w:val="24"/>
          <w:szCs w:val="24"/>
        </w:rPr>
      </w:pPr>
      <w:r w:rsidRPr="00A8123C">
        <w:rPr>
          <w:rFonts w:ascii="Arial" w:hAnsi="Arial" w:cs="Arial"/>
          <w:sz w:val="24"/>
          <w:szCs w:val="24"/>
        </w:rPr>
        <w:t xml:space="preserve">Purchaser assumes all risks and liability resulting from the use of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products whether used separately or in combination with other products not manufactured by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strongly recommends completion of formal post-graduate implant education and strict adherence to the procedures described in Nobel </w:t>
      </w:r>
      <w:proofErr w:type="spellStart"/>
      <w:r w:rsidRPr="00A8123C">
        <w:rPr>
          <w:rFonts w:ascii="Arial" w:hAnsi="Arial" w:cs="Arial"/>
          <w:sz w:val="24"/>
          <w:szCs w:val="24"/>
        </w:rPr>
        <w:t>Biocare’s</w:t>
      </w:r>
      <w:proofErr w:type="spellEnd"/>
      <w:r w:rsidRPr="00A8123C">
        <w:rPr>
          <w:rFonts w:ascii="Arial" w:hAnsi="Arial" w:cs="Arial"/>
          <w:sz w:val="24"/>
          <w:szCs w:val="24"/>
        </w:rPr>
        <w:t xml:space="preserve"> implant instruction manuals.</w:t>
      </w:r>
    </w:p>
    <w:p w14:paraId="5DB35B64" w14:textId="77777777" w:rsidR="00384E25" w:rsidRPr="00A8123C" w:rsidRDefault="00384E25" w:rsidP="00A8123C">
      <w:pPr>
        <w:pStyle w:val="Fineprint710pt"/>
        <w:spacing w:line="240" w:lineRule="auto"/>
        <w:rPr>
          <w:rFonts w:ascii="Arial" w:hAnsi="Arial" w:cs="Arial"/>
          <w:sz w:val="24"/>
          <w:szCs w:val="24"/>
        </w:rPr>
      </w:pPr>
    </w:p>
    <w:p w14:paraId="7AD8588B" w14:textId="44C5E22C" w:rsidR="00384E25" w:rsidRPr="00A8123C" w:rsidRDefault="00384E25" w:rsidP="00A8123C">
      <w:pPr>
        <w:pStyle w:val="Fineprint710pt"/>
        <w:spacing w:line="240" w:lineRule="auto"/>
        <w:rPr>
          <w:rFonts w:ascii="Arial" w:hAnsi="Arial" w:cs="Arial"/>
          <w:sz w:val="24"/>
          <w:szCs w:val="24"/>
        </w:rPr>
      </w:pPr>
      <w:r w:rsidRPr="00A8123C">
        <w:rPr>
          <w:rFonts w:ascii="Arial" w:hAnsi="Arial" w:cs="Arial"/>
          <w:sz w:val="24"/>
          <w:szCs w:val="24"/>
        </w:rPr>
        <w:t xml:space="preserve">Nobel </w:t>
      </w:r>
      <w:proofErr w:type="spellStart"/>
      <w:r w:rsidRPr="00A8123C">
        <w:rPr>
          <w:rFonts w:ascii="Arial" w:hAnsi="Arial" w:cs="Arial"/>
          <w:sz w:val="24"/>
          <w:szCs w:val="24"/>
        </w:rPr>
        <w:t>Biocare</w:t>
      </w:r>
      <w:proofErr w:type="spellEnd"/>
      <w:r w:rsidRPr="00A8123C">
        <w:rPr>
          <w:rFonts w:ascii="Arial" w:hAnsi="Arial" w:cs="Arial"/>
          <w:sz w:val="24"/>
          <w:szCs w:val="24"/>
        </w:rPr>
        <w:t xml:space="preserve"> continually strives to improve its products; therefore, reserves the right to improve, modify, or discontinue products at any time or to change specifications and prices without notice and without incurring obligations.</w:t>
      </w:r>
    </w:p>
    <w:p w14:paraId="02C605C7" w14:textId="77777777" w:rsidR="00384E25" w:rsidRPr="00A8123C" w:rsidRDefault="00384E25" w:rsidP="00A8123C">
      <w:pPr>
        <w:pStyle w:val="Fineprint710pt"/>
        <w:spacing w:line="240" w:lineRule="auto"/>
        <w:rPr>
          <w:rFonts w:ascii="Arial" w:hAnsi="Arial" w:cs="Arial"/>
          <w:sz w:val="24"/>
          <w:szCs w:val="24"/>
        </w:rPr>
      </w:pPr>
    </w:p>
    <w:p w14:paraId="632F591E" w14:textId="77777777" w:rsidR="00384E25" w:rsidRPr="00A8123C" w:rsidRDefault="00384E25" w:rsidP="00A8123C">
      <w:pPr>
        <w:pStyle w:val="Fineprint710pt"/>
        <w:spacing w:line="240" w:lineRule="auto"/>
        <w:rPr>
          <w:rFonts w:ascii="Arial" w:hAnsi="Arial" w:cs="Arial"/>
          <w:sz w:val="24"/>
          <w:szCs w:val="24"/>
        </w:rPr>
      </w:pPr>
    </w:p>
    <w:p w14:paraId="4E37F6A2" w14:textId="4F8DB364" w:rsidR="00384E25" w:rsidRPr="00A8123C" w:rsidRDefault="00384E25" w:rsidP="00A8123C">
      <w:pPr>
        <w:pStyle w:val="F00Footnote-784Fineprint"/>
        <w:spacing w:line="240" w:lineRule="auto"/>
        <w:rPr>
          <w:rFonts w:ascii="Arial" w:hAnsi="Arial" w:cs="Arial"/>
          <w:sz w:val="16"/>
          <w:szCs w:val="16"/>
        </w:rPr>
      </w:pPr>
      <w:r w:rsidRPr="00A8123C">
        <w:rPr>
          <w:rFonts w:ascii="Arial" w:hAnsi="Arial" w:cs="Arial"/>
          <w:sz w:val="16"/>
          <w:szCs w:val="16"/>
        </w:rPr>
        <w:t>1</w:t>
      </w:r>
      <w:r w:rsidRPr="00A8123C">
        <w:rPr>
          <w:rFonts w:ascii="Arial" w:hAnsi="Arial" w:cs="Arial"/>
          <w:sz w:val="16"/>
          <w:szCs w:val="16"/>
        </w:rPr>
        <w:tab/>
      </w:r>
      <w:r w:rsidRPr="00A8123C">
        <w:rPr>
          <w:rFonts w:ascii="Arial" w:hAnsi="Arial" w:cs="Arial"/>
          <w:sz w:val="16"/>
          <w:szCs w:val="16"/>
        </w:rPr>
        <w:tab/>
        <w:t>For the purpose of this Return Policy, “</w:t>
      </w:r>
      <w:proofErr w:type="gramStart"/>
      <w:r w:rsidRPr="00A8123C">
        <w:rPr>
          <w:rFonts w:ascii="Arial" w:hAnsi="Arial" w:cs="Arial"/>
          <w:sz w:val="16"/>
          <w:szCs w:val="16"/>
        </w:rPr>
        <w:t>Products“ means</w:t>
      </w:r>
      <w:proofErr w:type="gramEnd"/>
      <w:r w:rsidRPr="00A8123C">
        <w:rPr>
          <w:rFonts w:ascii="Arial" w:hAnsi="Arial" w:cs="Arial"/>
          <w:sz w:val="16"/>
          <w:szCs w:val="16"/>
        </w:rPr>
        <w:t xml:space="preserve"> all Nobel </w:t>
      </w:r>
      <w:proofErr w:type="spellStart"/>
      <w:r w:rsidRPr="00A8123C">
        <w:rPr>
          <w:rFonts w:ascii="Arial" w:hAnsi="Arial" w:cs="Arial"/>
          <w:sz w:val="16"/>
          <w:szCs w:val="16"/>
        </w:rPr>
        <w:t>Biocare</w:t>
      </w:r>
      <w:proofErr w:type="spellEnd"/>
      <w:r w:rsidRPr="00A8123C">
        <w:rPr>
          <w:rFonts w:ascii="Arial" w:hAnsi="Arial" w:cs="Arial"/>
          <w:sz w:val="16"/>
          <w:szCs w:val="16"/>
        </w:rPr>
        <w:t xml:space="preserve"> products (including spare parts and special products), </w:t>
      </w:r>
      <w:proofErr w:type="gramStart"/>
      <w:r w:rsidRPr="00A8123C">
        <w:rPr>
          <w:rFonts w:ascii="Arial" w:hAnsi="Arial" w:cs="Arial"/>
          <w:sz w:val="16"/>
          <w:szCs w:val="16"/>
        </w:rPr>
        <w:t>with the exception of</w:t>
      </w:r>
      <w:proofErr w:type="gramEnd"/>
      <w:r w:rsidRPr="00A8123C">
        <w:rPr>
          <w:rFonts w:ascii="Arial" w:hAnsi="Arial" w:cs="Arial"/>
          <w:sz w:val="16"/>
          <w:szCs w:val="16"/>
        </w:rPr>
        <w:t xml:space="preserve">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Products, </w:t>
      </w:r>
      <w:proofErr w:type="spellStart"/>
      <w:r w:rsidRPr="00A8123C">
        <w:rPr>
          <w:rFonts w:ascii="Arial" w:hAnsi="Arial" w:cs="Arial"/>
          <w:sz w:val="16"/>
          <w:szCs w:val="16"/>
        </w:rPr>
        <w:t>Procera</w:t>
      </w:r>
      <w:proofErr w:type="spellEnd"/>
      <w:r w:rsidRPr="00A8123C">
        <w:rPr>
          <w:rFonts w:ascii="Arial" w:hAnsi="Arial" w:cs="Arial"/>
          <w:sz w:val="16"/>
          <w:szCs w:val="16"/>
        </w:rPr>
        <w:t xml:space="preserve"> Products and templates.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Product” means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Crown and Bridge,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Individualized CAD/CAM Abutments,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Implant Bridge, and </w:t>
      </w:r>
      <w:proofErr w:type="spellStart"/>
      <w:r w:rsidRPr="00A8123C">
        <w:rPr>
          <w:rFonts w:ascii="Arial" w:hAnsi="Arial" w:cs="Arial"/>
          <w:sz w:val="16"/>
          <w:szCs w:val="16"/>
        </w:rPr>
        <w:t>NobelProcera</w:t>
      </w:r>
      <w:proofErr w:type="spellEnd"/>
      <w:r w:rsidRPr="00A8123C">
        <w:rPr>
          <w:rFonts w:ascii="Arial" w:hAnsi="Arial" w:cs="Arial"/>
          <w:sz w:val="16"/>
          <w:szCs w:val="16"/>
        </w:rPr>
        <w:t xml:space="preserve"> Implant Bar Overdenture, and “</w:t>
      </w:r>
      <w:proofErr w:type="spellStart"/>
      <w:r w:rsidRPr="00A8123C">
        <w:rPr>
          <w:rFonts w:ascii="Arial" w:hAnsi="Arial" w:cs="Arial"/>
          <w:sz w:val="16"/>
          <w:szCs w:val="16"/>
        </w:rPr>
        <w:t>Procera</w:t>
      </w:r>
      <w:proofErr w:type="spellEnd"/>
      <w:r w:rsidRPr="00A8123C">
        <w:rPr>
          <w:rFonts w:ascii="Arial" w:hAnsi="Arial" w:cs="Arial"/>
          <w:sz w:val="16"/>
          <w:szCs w:val="16"/>
        </w:rPr>
        <w:t xml:space="preserve"> Product” means </w:t>
      </w:r>
      <w:proofErr w:type="spellStart"/>
      <w:r w:rsidRPr="00A8123C">
        <w:rPr>
          <w:rFonts w:ascii="Arial" w:hAnsi="Arial" w:cs="Arial"/>
          <w:sz w:val="16"/>
          <w:szCs w:val="16"/>
        </w:rPr>
        <w:t>Procera</w:t>
      </w:r>
      <w:proofErr w:type="spellEnd"/>
      <w:r w:rsidRPr="00A8123C">
        <w:rPr>
          <w:rFonts w:ascii="Arial" w:hAnsi="Arial" w:cs="Arial"/>
          <w:sz w:val="16"/>
          <w:szCs w:val="16"/>
        </w:rPr>
        <w:t xml:space="preserve"> Abutments and </w:t>
      </w:r>
      <w:proofErr w:type="spellStart"/>
      <w:r w:rsidRPr="00A8123C">
        <w:rPr>
          <w:rFonts w:ascii="Arial" w:hAnsi="Arial" w:cs="Arial"/>
          <w:sz w:val="16"/>
          <w:szCs w:val="16"/>
        </w:rPr>
        <w:t>Procera</w:t>
      </w:r>
      <w:proofErr w:type="spellEnd"/>
      <w:r w:rsidRPr="00A8123C">
        <w:rPr>
          <w:rFonts w:ascii="Arial" w:hAnsi="Arial" w:cs="Arial"/>
          <w:sz w:val="16"/>
          <w:szCs w:val="16"/>
        </w:rPr>
        <w:t xml:space="preserve"> Implant Bridges. </w:t>
      </w:r>
    </w:p>
    <w:p w14:paraId="4410B9A8" w14:textId="77777777" w:rsidR="00384E25" w:rsidRPr="00A8123C" w:rsidRDefault="00384E25" w:rsidP="00A8123C">
      <w:pPr>
        <w:pStyle w:val="Fineprint710pt"/>
        <w:spacing w:line="240" w:lineRule="auto"/>
        <w:rPr>
          <w:rFonts w:ascii="Arial" w:hAnsi="Arial" w:cs="Arial"/>
          <w:sz w:val="16"/>
          <w:szCs w:val="16"/>
        </w:rPr>
      </w:pPr>
    </w:p>
    <w:sectPr w:rsidR="00384E25" w:rsidRPr="00A8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rk Pro Light">
    <w:altName w:val="Mark Pro Light"/>
    <w:panose1 w:val="020B0504020201010104"/>
    <w:charset w:val="4D"/>
    <w:family w:val="swiss"/>
    <w:pitch w:val="variable"/>
    <w:sig w:usb0="A00000FF" w:usb1="5000FCFB" w:usb2="00000000" w:usb3="00000000" w:csb0="00000093" w:csb1="00000000"/>
  </w:font>
  <w:font w:name="Mark Pro">
    <w:altName w:val="Mark Pro"/>
    <w:panose1 w:val="020B0504020201010104"/>
    <w:charset w:val="4D"/>
    <w:family w:val="swiss"/>
    <w:pitch w:val="variable"/>
    <w:sig w:usb0="A00000FF" w:usb1="5000FCF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25"/>
    <w:rsid w:val="000606AD"/>
    <w:rsid w:val="00384E25"/>
    <w:rsid w:val="00476CE5"/>
    <w:rsid w:val="00502589"/>
    <w:rsid w:val="006E4621"/>
    <w:rsid w:val="00954E0C"/>
    <w:rsid w:val="009B409E"/>
    <w:rsid w:val="00A8123C"/>
    <w:rsid w:val="00B8005D"/>
    <w:rsid w:val="00CF1F3E"/>
    <w:rsid w:val="00D5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F1386"/>
  <w15:chartTrackingRefBased/>
  <w15:docId w15:val="{60FFDB63-59B3-1748-B289-CA4A08B7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25"/>
    <w:rPr>
      <w:rFonts w:eastAsiaTheme="majorEastAsia" w:cstheme="majorBidi"/>
      <w:color w:val="272727" w:themeColor="text1" w:themeTint="D8"/>
    </w:rPr>
  </w:style>
  <w:style w:type="paragraph" w:styleId="Title">
    <w:name w:val="Title"/>
    <w:basedOn w:val="Normal"/>
    <w:next w:val="Normal"/>
    <w:link w:val="TitleChar"/>
    <w:uiPriority w:val="10"/>
    <w:qFormat/>
    <w:rsid w:val="00384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25"/>
    <w:pPr>
      <w:spacing w:before="160"/>
      <w:jc w:val="center"/>
    </w:pPr>
    <w:rPr>
      <w:i/>
      <w:iCs/>
      <w:color w:val="404040" w:themeColor="text1" w:themeTint="BF"/>
    </w:rPr>
  </w:style>
  <w:style w:type="character" w:customStyle="1" w:styleId="QuoteChar">
    <w:name w:val="Quote Char"/>
    <w:basedOn w:val="DefaultParagraphFont"/>
    <w:link w:val="Quote"/>
    <w:uiPriority w:val="29"/>
    <w:rsid w:val="00384E25"/>
    <w:rPr>
      <w:i/>
      <w:iCs/>
      <w:color w:val="404040" w:themeColor="text1" w:themeTint="BF"/>
    </w:rPr>
  </w:style>
  <w:style w:type="paragraph" w:styleId="ListParagraph">
    <w:name w:val="List Paragraph"/>
    <w:basedOn w:val="Normal"/>
    <w:uiPriority w:val="34"/>
    <w:qFormat/>
    <w:rsid w:val="00384E25"/>
    <w:pPr>
      <w:ind w:left="720"/>
      <w:contextualSpacing/>
    </w:pPr>
  </w:style>
  <w:style w:type="character" w:styleId="IntenseEmphasis">
    <w:name w:val="Intense Emphasis"/>
    <w:basedOn w:val="DefaultParagraphFont"/>
    <w:uiPriority w:val="21"/>
    <w:qFormat/>
    <w:rsid w:val="00384E25"/>
    <w:rPr>
      <w:i/>
      <w:iCs/>
      <w:color w:val="0F4761" w:themeColor="accent1" w:themeShade="BF"/>
    </w:rPr>
  </w:style>
  <w:style w:type="paragraph" w:styleId="IntenseQuote">
    <w:name w:val="Intense Quote"/>
    <w:basedOn w:val="Normal"/>
    <w:next w:val="Normal"/>
    <w:link w:val="IntenseQuoteChar"/>
    <w:uiPriority w:val="30"/>
    <w:qFormat/>
    <w:rsid w:val="00384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25"/>
    <w:rPr>
      <w:i/>
      <w:iCs/>
      <w:color w:val="0F4761" w:themeColor="accent1" w:themeShade="BF"/>
    </w:rPr>
  </w:style>
  <w:style w:type="character" w:styleId="IntenseReference">
    <w:name w:val="Intense Reference"/>
    <w:basedOn w:val="DefaultParagraphFont"/>
    <w:uiPriority w:val="32"/>
    <w:qFormat/>
    <w:rsid w:val="00384E25"/>
    <w:rPr>
      <w:b/>
      <w:bCs/>
      <w:smallCaps/>
      <w:color w:val="0F4761" w:themeColor="accent1" w:themeShade="BF"/>
      <w:spacing w:val="5"/>
    </w:rPr>
  </w:style>
  <w:style w:type="paragraph" w:customStyle="1" w:styleId="Fineprint710pt">
    <w:name w:val="Fine print 7/10pt"/>
    <w:basedOn w:val="Normal"/>
    <w:uiPriority w:val="99"/>
    <w:rsid w:val="00384E25"/>
    <w:pPr>
      <w:suppressAutoHyphens/>
      <w:autoSpaceDE w:val="0"/>
      <w:autoSpaceDN w:val="0"/>
      <w:adjustRightInd w:val="0"/>
      <w:spacing w:after="0" w:line="200" w:lineRule="atLeast"/>
      <w:textAlignment w:val="center"/>
    </w:pPr>
    <w:rPr>
      <w:rFonts w:ascii="Mark Pro Light" w:hAnsi="Mark Pro Light" w:cs="Mark Pro Light"/>
      <w:color w:val="000000"/>
      <w:kern w:val="0"/>
      <w:sz w:val="14"/>
      <w:szCs w:val="14"/>
    </w:rPr>
  </w:style>
  <w:style w:type="paragraph" w:customStyle="1" w:styleId="Fineprint-710pt-hangingindent">
    <w:name w:val="Fine print - 7/10pt - hanging indent"/>
    <w:basedOn w:val="Fineprint710pt"/>
    <w:uiPriority w:val="99"/>
    <w:rsid w:val="00384E25"/>
    <w:pPr>
      <w:tabs>
        <w:tab w:val="left" w:pos="200"/>
        <w:tab w:val="left" w:pos="520"/>
        <w:tab w:val="left" w:pos="700"/>
      </w:tabs>
      <w:ind w:left="200" w:hanging="200"/>
    </w:pPr>
  </w:style>
  <w:style w:type="paragraph" w:customStyle="1" w:styleId="Fineprint-710pt-hangingindentwbullets">
    <w:name w:val="Fine print - 7/10pt - hanging indent w bullets"/>
    <w:basedOn w:val="Fineprint-710pt-hangingindent"/>
    <w:uiPriority w:val="99"/>
    <w:rsid w:val="00384E25"/>
    <w:pPr>
      <w:tabs>
        <w:tab w:val="clear" w:pos="200"/>
        <w:tab w:val="clear" w:pos="520"/>
        <w:tab w:val="clear" w:pos="700"/>
        <w:tab w:val="left" w:pos="360"/>
      </w:tabs>
      <w:ind w:left="360" w:hanging="144"/>
    </w:pPr>
  </w:style>
  <w:style w:type="character" w:customStyle="1" w:styleId="Bold">
    <w:name w:val="Bold"/>
    <w:uiPriority w:val="99"/>
    <w:rsid w:val="00384E25"/>
    <w:rPr>
      <w:rFonts w:ascii="Mark Pro" w:hAnsi="Mark Pro" w:cs="Mark Pro"/>
      <w:b/>
      <w:bCs/>
      <w:color w:val="000000"/>
      <w:w w:val="100"/>
      <w:position w:val="0"/>
      <w:u w:val="none"/>
      <w:vertAlign w:val="baseline"/>
      <w:lang w:val="en-US"/>
    </w:rPr>
  </w:style>
  <w:style w:type="character" w:customStyle="1" w:styleId="Superscript">
    <w:name w:val="Superscript"/>
    <w:uiPriority w:val="99"/>
    <w:rsid w:val="00384E25"/>
    <w:rPr>
      <w:color w:val="000000"/>
      <w:vertAlign w:val="superscript"/>
    </w:rPr>
  </w:style>
  <w:style w:type="paragraph" w:customStyle="1" w:styleId="F00Footnote-784Fineprint">
    <w:name w:val="F.00 Footnote - 7/8.4 (Fine print)"/>
    <w:basedOn w:val="Normal"/>
    <w:uiPriority w:val="99"/>
    <w:rsid w:val="00384E25"/>
    <w:pPr>
      <w:tabs>
        <w:tab w:val="right" w:pos="120"/>
        <w:tab w:val="left" w:pos="160"/>
      </w:tabs>
      <w:suppressAutoHyphens/>
      <w:autoSpaceDE w:val="0"/>
      <w:autoSpaceDN w:val="0"/>
      <w:adjustRightInd w:val="0"/>
      <w:spacing w:after="0" w:line="147" w:lineRule="atLeast"/>
      <w:textAlignment w:val="center"/>
    </w:pPr>
    <w:rPr>
      <w:rFonts w:ascii="Mark Pro Light" w:hAnsi="Mark Pro Light" w:cs="Mark Pro Light"/>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Sitanggan, Ketsy</dc:creator>
  <cp:keywords/>
  <dc:description/>
  <cp:lastModifiedBy>Sitanggan, Ketsy</cp:lastModifiedBy>
  <cp:revision>2</cp:revision>
  <dcterms:created xsi:type="dcterms:W3CDTF">2025-04-30T15:55:00Z</dcterms:created>
  <dcterms:modified xsi:type="dcterms:W3CDTF">2025-04-30T16:11:00Z</dcterms:modified>
</cp:coreProperties>
</file>